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AE" w:rsidRPr="006F67B0" w:rsidRDefault="00AE62AE" w:rsidP="00AE62AE">
      <w:pPr>
        <w:spacing w:after="0" w:line="360" w:lineRule="auto"/>
        <w:jc w:val="both"/>
        <w:rPr>
          <w:rFonts w:ascii="Palatino Linotype" w:hAnsi="Palatino Linotype"/>
          <w:b/>
          <w:sz w:val="26"/>
          <w:szCs w:val="26"/>
        </w:rPr>
      </w:pPr>
      <w:r w:rsidRPr="006F67B0">
        <w:rPr>
          <w:rFonts w:ascii="Palatino Linotype" w:hAnsi="Palatino Linotype"/>
          <w:b/>
          <w:sz w:val="26"/>
          <w:szCs w:val="26"/>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6"/>
          <w:szCs w:val="26"/>
        </w:rPr>
        <w:t xml:space="preserve">SEXTA </w:t>
      </w:r>
      <w:r w:rsidRPr="006F67B0">
        <w:rPr>
          <w:rFonts w:ascii="Palatino Linotype" w:hAnsi="Palatino Linotype"/>
          <w:b/>
          <w:sz w:val="26"/>
          <w:szCs w:val="26"/>
        </w:rPr>
        <w:t xml:space="preserve">SESIÓN ORDINARIA DEL </w:t>
      </w:r>
      <w:r>
        <w:rPr>
          <w:rFonts w:ascii="Palatino Linotype" w:hAnsi="Palatino Linotype"/>
          <w:b/>
          <w:sz w:val="26"/>
          <w:szCs w:val="26"/>
        </w:rPr>
        <w:t>TRECE DE FEBRERO DE DOS MIL DIECINUEVE</w:t>
      </w:r>
      <w:r w:rsidRPr="006F67B0">
        <w:rPr>
          <w:rFonts w:ascii="Palatino Linotype" w:hAnsi="Palatino Linotype"/>
          <w:b/>
          <w:sz w:val="26"/>
          <w:szCs w:val="26"/>
        </w:rPr>
        <w:t>, EN EL RECURSO DE REVISIÓN 0</w:t>
      </w:r>
      <w:r>
        <w:rPr>
          <w:rFonts w:ascii="Palatino Linotype" w:hAnsi="Palatino Linotype"/>
          <w:b/>
          <w:sz w:val="26"/>
          <w:szCs w:val="26"/>
        </w:rPr>
        <w:t>4639</w:t>
      </w:r>
      <w:r w:rsidRPr="006F67B0">
        <w:rPr>
          <w:rFonts w:ascii="Palatino Linotype" w:hAnsi="Palatino Linotype"/>
          <w:b/>
          <w:sz w:val="26"/>
          <w:szCs w:val="26"/>
        </w:rPr>
        <w:t>/INFOEM/IP/RR/2018.</w:t>
      </w:r>
    </w:p>
    <w:p w:rsidR="00AE62AE" w:rsidRPr="006F67B0" w:rsidRDefault="00AE62AE" w:rsidP="00AE62AE">
      <w:pPr>
        <w:spacing w:after="0" w:line="360" w:lineRule="auto"/>
        <w:jc w:val="both"/>
        <w:rPr>
          <w:rFonts w:ascii="Palatino Linotype" w:hAnsi="Palatino Linotype"/>
          <w:b/>
          <w:sz w:val="24"/>
          <w:szCs w:val="24"/>
        </w:rPr>
      </w:pPr>
    </w:p>
    <w:p w:rsidR="00AE62AE" w:rsidRPr="006F67B0" w:rsidRDefault="00AE62AE" w:rsidP="00AE62AE">
      <w:pPr>
        <w:spacing w:after="0" w:line="360" w:lineRule="auto"/>
        <w:jc w:val="both"/>
        <w:rPr>
          <w:rFonts w:ascii="Palatino Linotype" w:hAnsi="Palatino Linotype"/>
          <w:sz w:val="24"/>
          <w:szCs w:val="24"/>
        </w:rPr>
      </w:pPr>
      <w:r w:rsidRPr="006F67B0">
        <w:rPr>
          <w:rFonts w:ascii="Palatino Linotype" w:hAnsi="Palatino Linotype"/>
          <w:sz w:val="24"/>
          <w:szCs w:val="24"/>
        </w:rPr>
        <w:t>Con fundamento en lo dispuesto por el artículo 14 fracci</w:t>
      </w:r>
      <w:r w:rsidR="00480067">
        <w:rPr>
          <w:rFonts w:ascii="Palatino Linotype" w:hAnsi="Palatino Linotype"/>
          <w:sz w:val="24"/>
          <w:szCs w:val="24"/>
        </w:rPr>
        <w:t>ón XI</w:t>
      </w:r>
      <w:r w:rsidRPr="006F67B0">
        <w:rPr>
          <w:rFonts w:ascii="Palatino Linotype" w:hAnsi="Palatino Linotype"/>
          <w:sz w:val="24"/>
          <w:szCs w:val="24"/>
        </w:rPr>
        <w:t xml:space="preserve"> del Reglamento Interior del Instituto de Transparencia, Acceso a la Información Pública y Protección de Datos Personales del Estado de México y Municipios, la Comisionada Presidenta  Zulema Martínez Sánchez emite VOTO PARTICULAR</w:t>
      </w:r>
      <w:r>
        <w:rPr>
          <w:rFonts w:ascii="Palatino Linotype" w:hAnsi="Palatino Linotype"/>
          <w:sz w:val="24"/>
          <w:szCs w:val="24"/>
        </w:rPr>
        <w:t xml:space="preserve"> </w:t>
      </w:r>
      <w:r w:rsidRPr="006F67B0">
        <w:rPr>
          <w:rFonts w:ascii="Palatino Linotype" w:hAnsi="Palatino Linotype"/>
          <w:sz w:val="24"/>
          <w:szCs w:val="24"/>
        </w:rPr>
        <w:t>respecto a la resolución dictada en el recurso de revisión 0</w:t>
      </w:r>
      <w:r w:rsidR="00480067">
        <w:rPr>
          <w:rFonts w:ascii="Palatino Linotype" w:hAnsi="Palatino Linotype"/>
          <w:sz w:val="24"/>
          <w:szCs w:val="24"/>
        </w:rPr>
        <w:t>4639</w:t>
      </w:r>
      <w:r w:rsidRPr="006F67B0">
        <w:rPr>
          <w:rFonts w:ascii="Palatino Linotype" w:hAnsi="Palatino Linotype"/>
          <w:sz w:val="24"/>
          <w:szCs w:val="24"/>
        </w:rPr>
        <w:t xml:space="preserve">/INFOEM/IP/RR/2018, pronunciada por el Pleno de este Instituto ante el proyecto presentado por el Comisionado </w:t>
      </w:r>
      <w:r w:rsidR="00480067">
        <w:rPr>
          <w:rFonts w:ascii="Palatino Linotype" w:hAnsi="Palatino Linotype"/>
          <w:sz w:val="24"/>
          <w:szCs w:val="24"/>
        </w:rPr>
        <w:t>Javier Martínez Cruz</w:t>
      </w:r>
      <w:r w:rsidRPr="006F67B0">
        <w:rPr>
          <w:rFonts w:ascii="Palatino Linotype" w:hAnsi="Palatino Linotype"/>
          <w:sz w:val="24"/>
          <w:szCs w:val="24"/>
        </w:rPr>
        <w:t xml:space="preserve">, que es del tenor siguiente: </w:t>
      </w:r>
    </w:p>
    <w:p w:rsidR="00AE62AE" w:rsidRPr="006F67B0" w:rsidRDefault="00AE62AE" w:rsidP="00AE62AE">
      <w:pPr>
        <w:spacing w:after="0" w:line="360" w:lineRule="auto"/>
        <w:jc w:val="both"/>
        <w:rPr>
          <w:rFonts w:ascii="Palatino Linotype" w:hAnsi="Palatino Linotype"/>
          <w:sz w:val="24"/>
          <w:szCs w:val="24"/>
        </w:rPr>
      </w:pPr>
    </w:p>
    <w:p w:rsidR="00AE62AE" w:rsidRPr="006F67B0" w:rsidRDefault="00AE62AE" w:rsidP="00AE62AE">
      <w:pPr>
        <w:spacing w:after="0" w:line="360" w:lineRule="auto"/>
        <w:jc w:val="both"/>
        <w:rPr>
          <w:rFonts w:ascii="Palatino Linotype" w:hAnsi="Palatino Linotype"/>
          <w:sz w:val="24"/>
          <w:szCs w:val="24"/>
        </w:rPr>
      </w:pPr>
      <w:r w:rsidRPr="006F67B0">
        <w:rPr>
          <w:rFonts w:ascii="Palatino Linotype" w:hAnsi="Palatino Linotype"/>
          <w:sz w:val="24"/>
          <w:szCs w:val="24"/>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rsidR="00AE62AE" w:rsidRPr="006F67B0" w:rsidRDefault="00AE62AE" w:rsidP="00AE62AE">
      <w:pPr>
        <w:spacing w:after="0" w:line="360" w:lineRule="auto"/>
        <w:jc w:val="both"/>
        <w:rPr>
          <w:rFonts w:ascii="Palatino Linotype" w:hAnsi="Palatino Linotype"/>
          <w:sz w:val="24"/>
          <w:szCs w:val="24"/>
        </w:rPr>
      </w:pPr>
      <w:r w:rsidRPr="006F67B0">
        <w:rPr>
          <w:rFonts w:ascii="Palatino Linotype" w:hAnsi="Palatino Linotype"/>
          <w:sz w:val="24"/>
          <w:szCs w:val="24"/>
        </w:rPr>
        <w:lastRenderedPageBreak/>
        <w:t xml:space="preserve">Para tal fin, es necesario atender recordar lo peticionado por el </w:t>
      </w:r>
      <w:r w:rsidRPr="00480067">
        <w:rPr>
          <w:rFonts w:ascii="Palatino Linotype" w:hAnsi="Palatino Linotype"/>
          <w:b/>
          <w:sz w:val="24"/>
          <w:szCs w:val="24"/>
        </w:rPr>
        <w:t>recurrente</w:t>
      </w:r>
      <w:r w:rsidRPr="006F67B0">
        <w:rPr>
          <w:rFonts w:ascii="Palatino Linotype" w:hAnsi="Palatino Linotype"/>
          <w:sz w:val="24"/>
          <w:szCs w:val="24"/>
        </w:rPr>
        <w:t xml:space="preserve"> en su </w:t>
      </w:r>
      <w:proofErr w:type="gramStart"/>
      <w:r w:rsidRPr="006F67B0">
        <w:rPr>
          <w:rFonts w:ascii="Palatino Linotype" w:hAnsi="Palatino Linotype"/>
          <w:sz w:val="24"/>
          <w:szCs w:val="24"/>
        </w:rPr>
        <w:t>solicitud</w:t>
      </w:r>
      <w:proofErr w:type="gramEnd"/>
      <w:r w:rsidRPr="006F67B0">
        <w:rPr>
          <w:rFonts w:ascii="Palatino Linotype" w:hAnsi="Palatino Linotype"/>
          <w:sz w:val="24"/>
          <w:szCs w:val="24"/>
        </w:rPr>
        <w:t xml:space="preserve"> de información, que versa en los términos siguientes:</w:t>
      </w:r>
    </w:p>
    <w:p w:rsidR="00AE62AE" w:rsidRPr="006F67B0" w:rsidRDefault="00AE62AE" w:rsidP="00AE62AE">
      <w:pPr>
        <w:pStyle w:val="Encabezado"/>
        <w:ind w:left="851" w:right="851"/>
        <w:jc w:val="both"/>
        <w:rPr>
          <w:rFonts w:ascii="Palatino Linotype" w:eastAsia="Calibri" w:hAnsi="Palatino Linotype"/>
          <w:b/>
          <w:i/>
          <w:sz w:val="22"/>
          <w:szCs w:val="22"/>
          <w:lang w:val="es-MX" w:eastAsia="en-US"/>
        </w:rPr>
      </w:pPr>
    </w:p>
    <w:p w:rsidR="00480067" w:rsidRPr="00FE43A1" w:rsidRDefault="00480067" w:rsidP="00480067">
      <w:pPr>
        <w:spacing w:before="240" w:after="240"/>
        <w:ind w:left="567" w:right="564"/>
        <w:jc w:val="both"/>
        <w:rPr>
          <w:rFonts w:ascii="Palatino Linotype" w:hAnsi="Palatino Linotype" w:cs="Arial"/>
          <w:i/>
        </w:rPr>
      </w:pPr>
      <w:r w:rsidRPr="00FE43A1">
        <w:rPr>
          <w:rFonts w:ascii="Palatino Linotype" w:hAnsi="Palatino Linotype" w:cs="Arial"/>
          <w:i/>
        </w:rPr>
        <w:t>“</w:t>
      </w:r>
      <w:r w:rsidRPr="00411049">
        <w:rPr>
          <w:rFonts w:ascii="Palatino Linotype" w:hAnsi="Palatino Linotype"/>
          <w:i/>
          <w:lang w:eastAsia="es-MX"/>
        </w:rPr>
        <w:t xml:space="preserve">Solicito la versión pública del juicio civil ordinario civil y ejecutivo </w:t>
      </w:r>
      <w:proofErr w:type="spellStart"/>
      <w:r w:rsidRPr="00411049">
        <w:rPr>
          <w:rFonts w:ascii="Palatino Linotype" w:hAnsi="Palatino Linotype"/>
          <w:i/>
          <w:lang w:eastAsia="es-MX"/>
        </w:rPr>
        <w:t>merecantil</w:t>
      </w:r>
      <w:proofErr w:type="spellEnd"/>
      <w:r w:rsidRPr="00411049">
        <w:rPr>
          <w:rFonts w:ascii="Palatino Linotype" w:hAnsi="Palatino Linotype"/>
          <w:i/>
          <w:lang w:eastAsia="es-MX"/>
        </w:rPr>
        <w:t xml:space="preserve"> número 145/2015 de índice del Juzgado </w:t>
      </w:r>
      <w:r w:rsidR="00CD4373">
        <w:rPr>
          <w:rFonts w:ascii="Palatino Linotype" w:hAnsi="Palatino Linotype"/>
          <w:i/>
          <w:lang w:eastAsia="es-MX"/>
        </w:rPr>
        <w:t>XXXXXXXXXXX</w:t>
      </w:r>
      <w:r w:rsidRPr="00411049">
        <w:rPr>
          <w:rFonts w:ascii="Palatino Linotype" w:hAnsi="Palatino Linotype"/>
          <w:i/>
          <w:lang w:eastAsia="es-MX"/>
        </w:rPr>
        <w:t xml:space="preserve"> promovido por </w:t>
      </w:r>
      <w:r w:rsidR="00CD4373">
        <w:rPr>
          <w:rFonts w:ascii="Palatino Linotype" w:hAnsi="Palatino Linotype"/>
          <w:i/>
          <w:lang w:eastAsia="es-MX"/>
        </w:rPr>
        <w:t>XXXXXXXXXXXX</w:t>
      </w:r>
      <w:r w:rsidRPr="00411049">
        <w:rPr>
          <w:rFonts w:ascii="Palatino Linotype" w:hAnsi="Palatino Linotype"/>
          <w:i/>
          <w:lang w:eastAsia="es-MX"/>
        </w:rPr>
        <w:t xml:space="preserve">, </w:t>
      </w:r>
      <w:r w:rsidR="00CD4373">
        <w:rPr>
          <w:rFonts w:ascii="Palatino Linotype" w:hAnsi="Palatino Linotype"/>
          <w:i/>
          <w:lang w:eastAsia="es-MX"/>
        </w:rPr>
        <w:t>XXXXXXXXXXXXXXXXXX</w:t>
      </w:r>
      <w:r w:rsidRPr="00411049">
        <w:rPr>
          <w:rFonts w:ascii="Palatino Linotype" w:hAnsi="Palatino Linotype"/>
          <w:i/>
          <w:lang w:eastAsia="es-MX"/>
        </w:rPr>
        <w:t xml:space="preserve"> (C.M.) en contra de </w:t>
      </w:r>
      <w:r w:rsidR="00CD4373">
        <w:rPr>
          <w:rFonts w:ascii="Palatino Linotype" w:hAnsi="Palatino Linotype"/>
          <w:i/>
          <w:lang w:eastAsia="es-MX"/>
        </w:rPr>
        <w:t>XXXXXXXXXXXXX</w:t>
      </w:r>
      <w:r w:rsidRPr="00411049">
        <w:rPr>
          <w:rFonts w:ascii="Palatino Linotype" w:hAnsi="Palatino Linotype"/>
          <w:i/>
          <w:lang w:eastAsia="es-MX"/>
        </w:rPr>
        <w:t xml:space="preserve"> y otros, con sentencia definitiva de fecha 03/07/2015.</w:t>
      </w:r>
      <w:r w:rsidRPr="00FE43A1">
        <w:rPr>
          <w:rFonts w:ascii="Palatino Linotype" w:hAnsi="Palatino Linotype" w:cs="Arial"/>
          <w:i/>
        </w:rPr>
        <w:t>”(Sic)</w:t>
      </w:r>
    </w:p>
    <w:p w:rsidR="00AE62AE" w:rsidRPr="006F67B0" w:rsidRDefault="00AE62AE" w:rsidP="00AE62AE">
      <w:pPr>
        <w:spacing w:after="0" w:line="360" w:lineRule="auto"/>
        <w:jc w:val="both"/>
        <w:rPr>
          <w:rFonts w:ascii="Palatino Linotype" w:hAnsi="Palatino Linotype"/>
        </w:rPr>
      </w:pPr>
    </w:p>
    <w:p w:rsidR="00AE62AE" w:rsidRPr="006F67B0" w:rsidRDefault="00AE62AE" w:rsidP="00AE62AE">
      <w:pPr>
        <w:spacing w:after="0" w:line="360" w:lineRule="auto"/>
        <w:jc w:val="both"/>
        <w:rPr>
          <w:rFonts w:ascii="Palatino Linotype" w:hAnsi="Palatino Linotype"/>
          <w:b/>
          <w:i/>
          <w:sz w:val="24"/>
          <w:szCs w:val="24"/>
        </w:rPr>
      </w:pPr>
      <w:r w:rsidRPr="006F67B0">
        <w:rPr>
          <w:rFonts w:ascii="Palatino Linotype" w:hAnsi="Palatino Linotype"/>
          <w:sz w:val="24"/>
          <w:szCs w:val="24"/>
        </w:rPr>
        <w:t xml:space="preserve">Modalidad de entrega: </w:t>
      </w:r>
      <w:r w:rsidR="00480067">
        <w:rPr>
          <w:rFonts w:ascii="Palatino Linotype" w:hAnsi="Palatino Linotype"/>
          <w:b/>
          <w:i/>
          <w:sz w:val="24"/>
          <w:szCs w:val="24"/>
        </w:rPr>
        <w:t>a través del SAIMEX</w:t>
      </w:r>
      <w:bookmarkStart w:id="0" w:name="_GoBack"/>
      <w:bookmarkEnd w:id="0"/>
    </w:p>
    <w:p w:rsidR="00AE62AE" w:rsidRPr="006F67B0" w:rsidRDefault="00AE62AE" w:rsidP="00AE62AE">
      <w:pPr>
        <w:spacing w:after="0" w:line="360" w:lineRule="auto"/>
        <w:jc w:val="both"/>
        <w:rPr>
          <w:rFonts w:ascii="Palatino Linotype" w:hAnsi="Palatino Linotype"/>
          <w:sz w:val="24"/>
          <w:szCs w:val="24"/>
        </w:rPr>
      </w:pPr>
    </w:p>
    <w:p w:rsidR="00AE62AE" w:rsidRPr="003E1426" w:rsidRDefault="003E1426" w:rsidP="00AE62AE">
      <w:pPr>
        <w:spacing w:after="0" w:line="360" w:lineRule="auto"/>
        <w:jc w:val="both"/>
        <w:rPr>
          <w:rFonts w:ascii="Palatino Linotype" w:hAnsi="Palatino Linotype"/>
          <w:sz w:val="24"/>
          <w:szCs w:val="24"/>
        </w:rPr>
      </w:pPr>
      <w:r>
        <w:rPr>
          <w:rFonts w:ascii="Palatino Linotype" w:hAnsi="Palatino Linotype"/>
          <w:sz w:val="24"/>
          <w:szCs w:val="24"/>
        </w:rPr>
        <w:t>S</w:t>
      </w:r>
      <w:r w:rsidR="00AE62AE" w:rsidRPr="006F67B0">
        <w:rPr>
          <w:rFonts w:ascii="Palatino Linotype" w:hAnsi="Palatino Linotype"/>
          <w:sz w:val="24"/>
          <w:szCs w:val="24"/>
        </w:rPr>
        <w:t>e advierte</w:t>
      </w:r>
      <w:r>
        <w:rPr>
          <w:rFonts w:ascii="Palatino Linotype" w:hAnsi="Palatino Linotype"/>
          <w:sz w:val="24"/>
          <w:szCs w:val="24"/>
        </w:rPr>
        <w:t xml:space="preserve"> de forma clara y precisa </w:t>
      </w:r>
      <w:r w:rsidR="00AE62AE" w:rsidRPr="006F67B0">
        <w:rPr>
          <w:rFonts w:ascii="Palatino Linotype" w:hAnsi="Palatino Linotype"/>
          <w:sz w:val="24"/>
          <w:szCs w:val="24"/>
        </w:rPr>
        <w:t xml:space="preserve">el </w:t>
      </w:r>
      <w:r w:rsidR="00AE62AE" w:rsidRPr="006F67B0">
        <w:rPr>
          <w:rFonts w:ascii="Palatino Linotype" w:hAnsi="Palatino Linotype"/>
          <w:b/>
          <w:sz w:val="24"/>
          <w:szCs w:val="24"/>
        </w:rPr>
        <w:t>recurrente</w:t>
      </w:r>
      <w:r w:rsidR="00AE62AE" w:rsidRPr="006F67B0">
        <w:rPr>
          <w:rFonts w:ascii="Palatino Linotype" w:hAnsi="Palatino Linotype"/>
          <w:sz w:val="24"/>
          <w:szCs w:val="24"/>
        </w:rPr>
        <w:t xml:space="preserve"> peticiono que la información le fuera entregada </w:t>
      </w:r>
      <w:r>
        <w:rPr>
          <w:rFonts w:ascii="Palatino Linotype" w:hAnsi="Palatino Linotype"/>
          <w:i/>
          <w:sz w:val="24"/>
          <w:szCs w:val="24"/>
        </w:rPr>
        <w:t xml:space="preserve">“a través del </w:t>
      </w:r>
      <w:proofErr w:type="spellStart"/>
      <w:r>
        <w:rPr>
          <w:rFonts w:ascii="Palatino Linotype" w:hAnsi="Palatino Linotype"/>
          <w:i/>
          <w:sz w:val="24"/>
          <w:szCs w:val="24"/>
        </w:rPr>
        <w:t>Saimex</w:t>
      </w:r>
      <w:proofErr w:type="spellEnd"/>
      <w:r>
        <w:rPr>
          <w:rFonts w:ascii="Palatino Linotype" w:hAnsi="Palatino Linotype"/>
          <w:i/>
          <w:sz w:val="24"/>
          <w:szCs w:val="24"/>
        </w:rPr>
        <w:t>”</w:t>
      </w:r>
      <w:r>
        <w:rPr>
          <w:rFonts w:ascii="Palatino Linotype" w:hAnsi="Palatino Linotype"/>
          <w:sz w:val="24"/>
          <w:szCs w:val="24"/>
        </w:rPr>
        <w:t xml:space="preserve">; sin embargo el </w:t>
      </w:r>
      <w:r>
        <w:rPr>
          <w:rFonts w:ascii="Palatino Linotype" w:hAnsi="Palatino Linotype"/>
          <w:b/>
          <w:sz w:val="24"/>
          <w:szCs w:val="24"/>
        </w:rPr>
        <w:t>sujeto obligado</w:t>
      </w:r>
      <w:r>
        <w:rPr>
          <w:rFonts w:ascii="Palatino Linotype" w:hAnsi="Palatino Linotype"/>
          <w:sz w:val="24"/>
          <w:szCs w:val="24"/>
        </w:rPr>
        <w:t xml:space="preserve"> al emitir su respuesta e informe justificado manifiesta que la información peticionada no se encuentra digitalizada al no ser una obligación común, por lo que el </w:t>
      </w:r>
      <w:r>
        <w:rPr>
          <w:rFonts w:ascii="Palatino Linotype" w:hAnsi="Palatino Linotype"/>
          <w:b/>
          <w:sz w:val="24"/>
          <w:szCs w:val="24"/>
        </w:rPr>
        <w:t>solicitante</w:t>
      </w:r>
      <w:r>
        <w:rPr>
          <w:rFonts w:ascii="Palatino Linotype" w:hAnsi="Palatino Linotype"/>
          <w:sz w:val="24"/>
          <w:szCs w:val="24"/>
        </w:rPr>
        <w:t xml:space="preserve"> debe realizar el pago por la digitalización de la información.</w:t>
      </w:r>
    </w:p>
    <w:p w:rsidR="00AE62AE" w:rsidRDefault="00AE62AE" w:rsidP="00AE62AE">
      <w:pPr>
        <w:spacing w:after="0" w:line="360" w:lineRule="auto"/>
        <w:jc w:val="both"/>
        <w:rPr>
          <w:rFonts w:ascii="Palatino Linotype" w:hAnsi="Palatino Linotype"/>
          <w:sz w:val="24"/>
          <w:szCs w:val="24"/>
        </w:rPr>
      </w:pPr>
    </w:p>
    <w:p w:rsidR="003E1426" w:rsidRPr="004D131E" w:rsidRDefault="003E1426" w:rsidP="00AE62AE">
      <w:pPr>
        <w:spacing w:after="0" w:line="360" w:lineRule="auto"/>
        <w:jc w:val="both"/>
        <w:rPr>
          <w:rFonts w:ascii="Palatino Linotype" w:hAnsi="Palatino Linotype"/>
          <w:sz w:val="24"/>
          <w:szCs w:val="24"/>
        </w:rPr>
      </w:pPr>
      <w:r>
        <w:rPr>
          <w:rFonts w:ascii="Palatino Linotype" w:hAnsi="Palatino Linotype"/>
          <w:sz w:val="24"/>
          <w:szCs w:val="24"/>
        </w:rPr>
        <w:t xml:space="preserve">Manifestaciones por parte del </w:t>
      </w:r>
      <w:r>
        <w:rPr>
          <w:rFonts w:ascii="Palatino Linotype" w:hAnsi="Palatino Linotype"/>
          <w:b/>
          <w:sz w:val="24"/>
          <w:szCs w:val="24"/>
        </w:rPr>
        <w:t xml:space="preserve">sujeto obligado, </w:t>
      </w:r>
      <w:r>
        <w:rPr>
          <w:rFonts w:ascii="Palatino Linotype" w:hAnsi="Palatino Linotype"/>
          <w:sz w:val="24"/>
          <w:szCs w:val="24"/>
        </w:rPr>
        <w:t xml:space="preserve">que a criterio de la suscrita resultan fundadas, lo anterior, atendiendo a que la Ley de Transparencia y Acceso a la Información Pública del Estado de México y Municipios, consagra en su artículo 9 que si bien para el ejercicio del derecho de acceso a la información se observaran diversos principios entre los que se incluye el principio de gratuidad, </w:t>
      </w:r>
      <w:r w:rsidR="004D131E">
        <w:rPr>
          <w:rFonts w:ascii="Palatino Linotype" w:hAnsi="Palatino Linotype"/>
          <w:sz w:val="24"/>
          <w:szCs w:val="24"/>
        </w:rPr>
        <w:t>como se acredita a continuación:</w:t>
      </w:r>
    </w:p>
    <w:p w:rsidR="003E1426" w:rsidRDefault="003E1426" w:rsidP="00AE62AE">
      <w:pPr>
        <w:spacing w:after="0" w:line="360" w:lineRule="auto"/>
        <w:jc w:val="both"/>
        <w:rPr>
          <w:rFonts w:ascii="Palatino Linotype" w:hAnsi="Palatino Linotype"/>
          <w:sz w:val="24"/>
          <w:szCs w:val="24"/>
        </w:rPr>
      </w:pPr>
    </w:p>
    <w:p w:rsidR="004D131E" w:rsidRDefault="004D131E" w:rsidP="004D131E">
      <w:pPr>
        <w:spacing w:after="0" w:line="240" w:lineRule="auto"/>
        <w:ind w:left="567" w:right="564"/>
        <w:jc w:val="both"/>
        <w:rPr>
          <w:rFonts w:ascii="Palatino Linotype" w:hAnsi="Palatino Linotype"/>
          <w:i/>
          <w:szCs w:val="24"/>
        </w:rPr>
      </w:pPr>
      <w:r>
        <w:rPr>
          <w:rFonts w:ascii="Palatino Linotype" w:hAnsi="Palatino Linotype"/>
          <w:i/>
          <w:szCs w:val="24"/>
        </w:rPr>
        <w:lastRenderedPageBreak/>
        <w:t>“</w:t>
      </w:r>
      <w:r w:rsidRPr="004D131E">
        <w:rPr>
          <w:rFonts w:ascii="Palatino Linotype" w:hAnsi="Palatino Linotype"/>
          <w:b/>
          <w:i/>
          <w:szCs w:val="24"/>
        </w:rPr>
        <w:t>Artículo 9.</w:t>
      </w:r>
      <w:r w:rsidRPr="004D131E">
        <w:rPr>
          <w:rFonts w:ascii="Palatino Linotype" w:hAnsi="Palatino Linotype"/>
          <w:i/>
          <w:szCs w:val="24"/>
        </w:rPr>
        <w:t xml:space="preserve"> El Instituto deberá regir su funcionamiento de acuerdo a los siguientes principios:</w:t>
      </w:r>
    </w:p>
    <w:p w:rsidR="004D131E" w:rsidRDefault="004D131E" w:rsidP="004D131E">
      <w:pPr>
        <w:spacing w:after="0" w:line="240" w:lineRule="auto"/>
        <w:ind w:left="567" w:right="564"/>
        <w:jc w:val="both"/>
        <w:rPr>
          <w:rFonts w:ascii="Palatino Linotype" w:hAnsi="Palatino Linotype"/>
          <w:i/>
          <w:szCs w:val="24"/>
        </w:rPr>
      </w:pPr>
      <w:r>
        <w:rPr>
          <w:rFonts w:ascii="Palatino Linotype" w:hAnsi="Palatino Linotype"/>
          <w:i/>
          <w:szCs w:val="24"/>
        </w:rPr>
        <w:t>(…)</w:t>
      </w:r>
    </w:p>
    <w:p w:rsidR="004D131E" w:rsidRPr="004D131E" w:rsidRDefault="004D131E" w:rsidP="004D131E">
      <w:pPr>
        <w:spacing w:after="0" w:line="240" w:lineRule="auto"/>
        <w:ind w:left="567" w:right="564"/>
        <w:jc w:val="both"/>
        <w:rPr>
          <w:rFonts w:ascii="Palatino Linotype" w:hAnsi="Palatino Linotype"/>
          <w:i/>
          <w:szCs w:val="24"/>
        </w:rPr>
      </w:pPr>
      <w:r w:rsidRPr="004D131E">
        <w:rPr>
          <w:rFonts w:ascii="Palatino Linotype" w:hAnsi="Palatino Linotype"/>
          <w:b/>
          <w:i/>
          <w:szCs w:val="24"/>
        </w:rPr>
        <w:t>III. Gratuidad:</w:t>
      </w:r>
      <w:r w:rsidRPr="004D131E">
        <w:rPr>
          <w:rFonts w:ascii="Palatino Linotype" w:hAnsi="Palatino Linotype"/>
          <w:i/>
          <w:szCs w:val="24"/>
        </w:rPr>
        <w:t xml:space="preserve"> Consiste en que el acceso a la información pública no genera costo alguno para los</w:t>
      </w:r>
      <w:r>
        <w:rPr>
          <w:rFonts w:ascii="Palatino Linotype" w:hAnsi="Palatino Linotype"/>
          <w:i/>
          <w:szCs w:val="24"/>
        </w:rPr>
        <w:t xml:space="preserve"> </w:t>
      </w:r>
      <w:r w:rsidRPr="004D131E">
        <w:rPr>
          <w:rFonts w:ascii="Palatino Linotype" w:hAnsi="Palatino Linotype"/>
          <w:i/>
          <w:szCs w:val="24"/>
        </w:rPr>
        <w:t>solicitantes, sólo podrá requerirse el cobro correspondiente a la modalidad de reproducción y entrega</w:t>
      </w:r>
      <w:r>
        <w:rPr>
          <w:rFonts w:ascii="Palatino Linotype" w:hAnsi="Palatino Linotype"/>
          <w:i/>
          <w:szCs w:val="24"/>
        </w:rPr>
        <w:t xml:space="preserve"> </w:t>
      </w:r>
      <w:r w:rsidRPr="004D131E">
        <w:rPr>
          <w:rFonts w:ascii="Palatino Linotype" w:hAnsi="Palatino Linotype"/>
          <w:i/>
          <w:szCs w:val="24"/>
        </w:rPr>
        <w:t>solicitada conforme a lo establecido en la presente Ley y demás disposiciones jurídicas aplicables;</w:t>
      </w:r>
      <w:r>
        <w:rPr>
          <w:rFonts w:ascii="Palatino Linotype" w:hAnsi="Palatino Linotype"/>
          <w:i/>
          <w:szCs w:val="24"/>
        </w:rPr>
        <w:t>”</w:t>
      </w:r>
    </w:p>
    <w:p w:rsidR="004D131E" w:rsidRDefault="004D131E" w:rsidP="00AE62AE">
      <w:pPr>
        <w:spacing w:after="0" w:line="360" w:lineRule="auto"/>
        <w:jc w:val="both"/>
        <w:rPr>
          <w:rFonts w:ascii="Palatino Linotype" w:hAnsi="Palatino Linotype"/>
          <w:sz w:val="24"/>
          <w:szCs w:val="24"/>
        </w:rPr>
      </w:pPr>
    </w:p>
    <w:p w:rsidR="004D131E" w:rsidRDefault="004D131E" w:rsidP="00AE62AE">
      <w:pPr>
        <w:spacing w:after="0" w:line="360" w:lineRule="auto"/>
        <w:jc w:val="both"/>
        <w:rPr>
          <w:rFonts w:ascii="Palatino Linotype" w:hAnsi="Palatino Linotype"/>
          <w:sz w:val="24"/>
          <w:szCs w:val="24"/>
        </w:rPr>
      </w:pPr>
      <w:r>
        <w:rPr>
          <w:rFonts w:ascii="Palatino Linotype" w:hAnsi="Palatino Linotype"/>
          <w:sz w:val="24"/>
          <w:szCs w:val="24"/>
        </w:rPr>
        <w:t xml:space="preserve">Principio que consagra que el ejercicio del derecho de acceso a la información pública </w:t>
      </w:r>
      <w:r>
        <w:rPr>
          <w:rFonts w:ascii="Palatino Linotype" w:hAnsi="Palatino Linotype"/>
          <w:b/>
          <w:sz w:val="24"/>
          <w:szCs w:val="24"/>
        </w:rPr>
        <w:t xml:space="preserve">no genera </w:t>
      </w:r>
      <w:r>
        <w:rPr>
          <w:rFonts w:ascii="Palatino Linotype" w:hAnsi="Palatino Linotype"/>
          <w:sz w:val="24"/>
          <w:szCs w:val="24"/>
        </w:rPr>
        <w:t xml:space="preserve">costo alguno para los solicitantes, y que solo procede el cobro correspondiente por la modalidad de </w:t>
      </w:r>
      <w:r>
        <w:rPr>
          <w:rFonts w:ascii="Palatino Linotype" w:hAnsi="Palatino Linotype"/>
          <w:b/>
          <w:sz w:val="24"/>
          <w:szCs w:val="24"/>
        </w:rPr>
        <w:t>reproducción</w:t>
      </w:r>
      <w:r>
        <w:rPr>
          <w:rFonts w:ascii="Palatino Linotype" w:hAnsi="Palatino Linotype"/>
          <w:sz w:val="24"/>
          <w:szCs w:val="24"/>
        </w:rPr>
        <w:t xml:space="preserve"> y </w:t>
      </w:r>
      <w:r>
        <w:rPr>
          <w:rFonts w:ascii="Palatino Linotype" w:hAnsi="Palatino Linotype"/>
          <w:b/>
          <w:sz w:val="24"/>
          <w:szCs w:val="24"/>
        </w:rPr>
        <w:t>entrega</w:t>
      </w:r>
      <w:r>
        <w:rPr>
          <w:rFonts w:ascii="Palatino Linotype" w:hAnsi="Palatino Linotype"/>
          <w:sz w:val="24"/>
          <w:szCs w:val="24"/>
        </w:rPr>
        <w:t xml:space="preserve"> solicitada; ahora bien, cabe recordar de igual manera que el segundo párrafo del artículo 12 de la misma Ley de Transparencia, establece que los </w:t>
      </w:r>
      <w:r>
        <w:rPr>
          <w:rFonts w:ascii="Palatino Linotype" w:hAnsi="Palatino Linotype"/>
          <w:b/>
          <w:sz w:val="24"/>
          <w:szCs w:val="24"/>
        </w:rPr>
        <w:t xml:space="preserve">sujetos obligados </w:t>
      </w:r>
      <w:r>
        <w:rPr>
          <w:rFonts w:ascii="Palatino Linotype" w:hAnsi="Palatino Linotype"/>
          <w:sz w:val="24"/>
          <w:szCs w:val="24"/>
        </w:rPr>
        <w:t xml:space="preserve">sólo proporcionarán la información que se les requiera y obre en sus archivos </w:t>
      </w:r>
      <w:r>
        <w:rPr>
          <w:rFonts w:ascii="Palatino Linotype" w:hAnsi="Palatino Linotype"/>
          <w:b/>
          <w:sz w:val="24"/>
          <w:szCs w:val="24"/>
        </w:rPr>
        <w:t>en el estado en que se encuentre</w:t>
      </w:r>
      <w:r>
        <w:rPr>
          <w:rFonts w:ascii="Palatino Linotype" w:hAnsi="Palatino Linotype"/>
          <w:sz w:val="24"/>
          <w:szCs w:val="24"/>
        </w:rPr>
        <w:t>, ordenamiento que se cita a continuación:</w:t>
      </w:r>
    </w:p>
    <w:p w:rsidR="004D131E" w:rsidRDefault="004D131E" w:rsidP="00AE62AE">
      <w:pPr>
        <w:spacing w:after="0" w:line="360" w:lineRule="auto"/>
        <w:jc w:val="both"/>
        <w:rPr>
          <w:rFonts w:ascii="Palatino Linotype" w:hAnsi="Palatino Linotype"/>
          <w:sz w:val="24"/>
          <w:szCs w:val="24"/>
        </w:rPr>
      </w:pPr>
    </w:p>
    <w:p w:rsidR="004D131E" w:rsidRPr="004D131E" w:rsidRDefault="004D131E" w:rsidP="004D131E">
      <w:pPr>
        <w:spacing w:after="0" w:line="240" w:lineRule="auto"/>
        <w:ind w:left="567" w:right="564"/>
        <w:jc w:val="both"/>
        <w:rPr>
          <w:rFonts w:ascii="Palatino Linotype" w:hAnsi="Palatino Linotype"/>
          <w:i/>
          <w:szCs w:val="24"/>
        </w:rPr>
      </w:pPr>
      <w:r>
        <w:rPr>
          <w:rFonts w:ascii="Palatino Linotype" w:hAnsi="Palatino Linotype"/>
          <w:i/>
          <w:szCs w:val="24"/>
        </w:rPr>
        <w:t>“</w:t>
      </w:r>
      <w:r w:rsidRPr="004D131E">
        <w:rPr>
          <w:rFonts w:ascii="Palatino Linotype" w:hAnsi="Palatino Linotype"/>
          <w:b/>
          <w:i/>
          <w:szCs w:val="24"/>
        </w:rPr>
        <w:t>Artículo 12</w:t>
      </w:r>
      <w:r w:rsidRPr="004D131E">
        <w:rPr>
          <w:rFonts w:ascii="Palatino Linotype" w:hAnsi="Palatino Linotype"/>
          <w:i/>
          <w:szCs w:val="24"/>
        </w:rPr>
        <w:t>. Quienes generen, recopilen, administren, manejen, procesen, archiven o conserven</w:t>
      </w:r>
      <w:r>
        <w:rPr>
          <w:rFonts w:ascii="Palatino Linotype" w:hAnsi="Palatino Linotype"/>
          <w:i/>
          <w:szCs w:val="24"/>
        </w:rPr>
        <w:t xml:space="preserve"> </w:t>
      </w:r>
      <w:r w:rsidRPr="004D131E">
        <w:rPr>
          <w:rFonts w:ascii="Palatino Linotype" w:hAnsi="Palatino Linotype"/>
          <w:i/>
          <w:szCs w:val="24"/>
        </w:rPr>
        <w:t>información pública serán responsables de la misma en los términos de las disposiciones jurídicas</w:t>
      </w:r>
      <w:r>
        <w:rPr>
          <w:rFonts w:ascii="Palatino Linotype" w:hAnsi="Palatino Linotype"/>
          <w:i/>
          <w:szCs w:val="24"/>
        </w:rPr>
        <w:t xml:space="preserve"> </w:t>
      </w:r>
      <w:r w:rsidRPr="004D131E">
        <w:rPr>
          <w:rFonts w:ascii="Palatino Linotype" w:hAnsi="Palatino Linotype"/>
          <w:i/>
          <w:szCs w:val="24"/>
        </w:rPr>
        <w:t>aplicables.</w:t>
      </w:r>
    </w:p>
    <w:p w:rsidR="004D131E" w:rsidRDefault="004D131E" w:rsidP="004D131E">
      <w:pPr>
        <w:spacing w:after="0" w:line="240" w:lineRule="auto"/>
        <w:ind w:left="567" w:right="564"/>
        <w:jc w:val="both"/>
        <w:rPr>
          <w:rFonts w:ascii="Palatino Linotype" w:hAnsi="Palatino Linotype"/>
          <w:i/>
          <w:szCs w:val="24"/>
        </w:rPr>
      </w:pPr>
      <w:r w:rsidRPr="00FC4C90">
        <w:rPr>
          <w:rFonts w:ascii="Palatino Linotype" w:hAnsi="Palatino Linotype"/>
          <w:b/>
          <w:i/>
          <w:szCs w:val="24"/>
        </w:rPr>
        <w:t>Los sujetos obligados sólo proporcionarán la información pública que se les requiera y que obre en sus archivos y en el estado en que ésta se encuentre</w:t>
      </w:r>
      <w:r w:rsidRPr="004D131E">
        <w:rPr>
          <w:rFonts w:ascii="Palatino Linotype" w:hAnsi="Palatino Linotype"/>
          <w:i/>
          <w:szCs w:val="24"/>
        </w:rPr>
        <w:t>. La obligación de proporcionar información no</w:t>
      </w:r>
      <w:r>
        <w:rPr>
          <w:rFonts w:ascii="Palatino Linotype" w:hAnsi="Palatino Linotype"/>
          <w:i/>
          <w:szCs w:val="24"/>
        </w:rPr>
        <w:t xml:space="preserve"> </w:t>
      </w:r>
      <w:r w:rsidRPr="004D131E">
        <w:rPr>
          <w:rFonts w:ascii="Palatino Linotype" w:hAnsi="Palatino Linotype"/>
          <w:i/>
          <w:szCs w:val="24"/>
        </w:rPr>
        <w:t>comprende el procesamiento de la misma, ni el presentarla conforme al interés del solicitante; no</w:t>
      </w:r>
      <w:r>
        <w:rPr>
          <w:rFonts w:ascii="Palatino Linotype" w:hAnsi="Palatino Linotype"/>
          <w:i/>
          <w:szCs w:val="24"/>
        </w:rPr>
        <w:t xml:space="preserve"> </w:t>
      </w:r>
      <w:r w:rsidRPr="004D131E">
        <w:rPr>
          <w:rFonts w:ascii="Palatino Linotype" w:hAnsi="Palatino Linotype"/>
          <w:i/>
          <w:szCs w:val="24"/>
        </w:rPr>
        <w:t>estarán obligados a generarla, resumirla, efectuar cálculos o practicar investigaciones.</w:t>
      </w:r>
      <w:r>
        <w:rPr>
          <w:rFonts w:ascii="Palatino Linotype" w:hAnsi="Palatino Linotype"/>
          <w:i/>
          <w:szCs w:val="24"/>
        </w:rPr>
        <w:t>”</w:t>
      </w:r>
    </w:p>
    <w:p w:rsidR="004D131E" w:rsidRPr="004D131E" w:rsidRDefault="004D131E" w:rsidP="004D131E">
      <w:pPr>
        <w:spacing w:after="0" w:line="240" w:lineRule="auto"/>
        <w:ind w:left="567" w:right="564"/>
        <w:jc w:val="right"/>
        <w:rPr>
          <w:rFonts w:ascii="Palatino Linotype" w:hAnsi="Palatino Linotype"/>
          <w:i/>
          <w:szCs w:val="24"/>
        </w:rPr>
      </w:pPr>
      <w:r>
        <w:rPr>
          <w:rFonts w:ascii="Palatino Linotype" w:hAnsi="Palatino Linotype"/>
          <w:szCs w:val="24"/>
        </w:rPr>
        <w:t>(Énfasis añadido)</w:t>
      </w:r>
      <w:r w:rsidRPr="004D131E">
        <w:rPr>
          <w:rFonts w:ascii="Palatino Linotype" w:hAnsi="Palatino Linotype"/>
          <w:i/>
          <w:szCs w:val="24"/>
        </w:rPr>
        <w:cr/>
      </w:r>
    </w:p>
    <w:p w:rsidR="004D131E" w:rsidRDefault="00FC4C90" w:rsidP="00AE62AE">
      <w:pPr>
        <w:spacing w:after="0" w:line="360" w:lineRule="auto"/>
        <w:jc w:val="both"/>
        <w:rPr>
          <w:rFonts w:ascii="Palatino Linotype" w:hAnsi="Palatino Linotype"/>
          <w:sz w:val="24"/>
          <w:szCs w:val="24"/>
        </w:rPr>
      </w:pPr>
      <w:r>
        <w:rPr>
          <w:rFonts w:ascii="Palatino Linotype" w:hAnsi="Palatino Linotype"/>
          <w:sz w:val="24"/>
          <w:szCs w:val="24"/>
        </w:rPr>
        <w:t xml:space="preserve">Hipótesis normativa que resulta de aplicabilidad en el asunto en concreto, al tener por acreditado que el </w:t>
      </w:r>
      <w:r>
        <w:rPr>
          <w:rFonts w:ascii="Palatino Linotype" w:hAnsi="Palatino Linotype"/>
          <w:b/>
          <w:sz w:val="24"/>
          <w:szCs w:val="24"/>
        </w:rPr>
        <w:t xml:space="preserve">sujeto obligado </w:t>
      </w:r>
      <w:r>
        <w:rPr>
          <w:rFonts w:ascii="Palatino Linotype" w:hAnsi="Palatino Linotype"/>
          <w:sz w:val="24"/>
          <w:szCs w:val="24"/>
        </w:rPr>
        <w:t xml:space="preserve">tiene la información de manera física, al ser un expediente de actuación jurisdiccional, que se encuentra firmado por las partes y por </w:t>
      </w:r>
      <w:r>
        <w:rPr>
          <w:rFonts w:ascii="Palatino Linotype" w:hAnsi="Palatino Linotype"/>
          <w:sz w:val="24"/>
          <w:szCs w:val="24"/>
        </w:rPr>
        <w:lastRenderedPageBreak/>
        <w:t>el Secretario de Juzgado respectivo que le otorga la fe pública para la validez del mismo.</w:t>
      </w:r>
    </w:p>
    <w:p w:rsidR="00FC4C90" w:rsidRDefault="00FC4C90" w:rsidP="00AE62AE">
      <w:pPr>
        <w:spacing w:after="0" w:line="360" w:lineRule="auto"/>
        <w:jc w:val="both"/>
        <w:rPr>
          <w:rFonts w:ascii="Palatino Linotype" w:hAnsi="Palatino Linotype"/>
          <w:sz w:val="24"/>
          <w:szCs w:val="24"/>
        </w:rPr>
      </w:pPr>
    </w:p>
    <w:p w:rsidR="00AE62AE" w:rsidRPr="006F67B0" w:rsidRDefault="00FC4C90" w:rsidP="00AE62AE">
      <w:pPr>
        <w:spacing w:after="0" w:line="360" w:lineRule="auto"/>
        <w:jc w:val="both"/>
        <w:rPr>
          <w:rFonts w:ascii="Palatino Linotype" w:hAnsi="Palatino Linotype"/>
          <w:sz w:val="24"/>
          <w:szCs w:val="24"/>
        </w:rPr>
      </w:pPr>
      <w:r>
        <w:rPr>
          <w:rFonts w:ascii="Palatino Linotype" w:hAnsi="Palatino Linotype"/>
          <w:sz w:val="24"/>
          <w:szCs w:val="24"/>
        </w:rPr>
        <w:t xml:space="preserve">En ese tenor de ideas, al haber sido peticionada la entrega de la información vía SAIMEX, </w:t>
      </w:r>
      <w:r w:rsidR="00906B46">
        <w:rPr>
          <w:rFonts w:ascii="Palatino Linotype" w:hAnsi="Palatino Linotype"/>
          <w:sz w:val="24"/>
          <w:szCs w:val="24"/>
        </w:rPr>
        <w:t xml:space="preserve">es decir de forma digital, y atendiendo a que no se tiene la información en la modalidad peticionada, resulta procedente el cobro por la digitalización de la información, por </w:t>
      </w:r>
      <w:r w:rsidR="00AE62AE" w:rsidRPr="006F67B0">
        <w:rPr>
          <w:rFonts w:ascii="Palatino Linotype" w:hAnsi="Palatino Linotype"/>
          <w:sz w:val="24"/>
          <w:szCs w:val="24"/>
        </w:rPr>
        <w:t>lo que no se comparte es que se ordene la entrega de la informaci</w:t>
      </w:r>
      <w:r w:rsidR="00906B46">
        <w:rPr>
          <w:rFonts w:ascii="Palatino Linotype" w:hAnsi="Palatino Linotype"/>
          <w:sz w:val="24"/>
          <w:szCs w:val="24"/>
        </w:rPr>
        <w:t>ón de manera gratuita, lo que se encuentra establecido en</w:t>
      </w:r>
      <w:r w:rsidR="00AE62AE" w:rsidRPr="006F67B0">
        <w:rPr>
          <w:rFonts w:ascii="Palatino Linotype" w:hAnsi="Palatino Linotype"/>
          <w:sz w:val="24"/>
          <w:szCs w:val="24"/>
        </w:rPr>
        <w:t xml:space="preserve"> el artículo 174 de la Ley de Transparencia Local prevé lo conducente en caso de que existan costos para acceder a la información solicitada: </w:t>
      </w:r>
    </w:p>
    <w:p w:rsidR="00AE62AE" w:rsidRPr="006F67B0" w:rsidRDefault="00AE62AE" w:rsidP="00AE62AE">
      <w:pPr>
        <w:spacing w:after="0" w:line="360" w:lineRule="auto"/>
        <w:jc w:val="both"/>
        <w:rPr>
          <w:rFonts w:ascii="Palatino Linotype" w:hAnsi="Palatino Linotype"/>
          <w:sz w:val="24"/>
          <w:szCs w:val="24"/>
        </w:rPr>
      </w:pP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b/>
          <w:i/>
          <w:sz w:val="24"/>
          <w:szCs w:val="24"/>
          <w:lang w:val="es-ES" w:eastAsia="es-ES"/>
        </w:rPr>
        <w:t>Artículo 174.</w:t>
      </w:r>
      <w:r w:rsidRPr="006F67B0">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I. El costo de los materiales utilizados en la reproducción de la información</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II. El costo de envío, en su caso; y</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III. El pago de la certificación de los documentos, cuando proceda.</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Los sujetos obligados a los que no les sea aplicable el Código Financiero del Estado de México y Municipios deberán establecer cuotas que no sean mayores a las dispuestas en dicho ordenamiento.</w:t>
      </w:r>
    </w:p>
    <w:p w:rsidR="00AE62AE" w:rsidRPr="006F67B0" w:rsidRDefault="00AE62AE" w:rsidP="00AE62AE">
      <w:pPr>
        <w:autoSpaceDE w:val="0"/>
        <w:autoSpaceDN w:val="0"/>
        <w:adjustRightInd w:val="0"/>
        <w:spacing w:after="0" w:line="240" w:lineRule="auto"/>
        <w:ind w:left="567" w:right="564"/>
        <w:jc w:val="both"/>
        <w:rPr>
          <w:rFonts w:ascii="Palatino Linotype" w:eastAsia="Times New Roman" w:hAnsi="Palatino Linotype" w:cs="Times New Roman"/>
          <w:i/>
          <w:sz w:val="24"/>
          <w:szCs w:val="24"/>
          <w:lang w:val="es-ES" w:eastAsia="es-ES"/>
        </w:rPr>
      </w:pPr>
      <w:r w:rsidRPr="006F67B0">
        <w:rPr>
          <w:rFonts w:ascii="Palatino Linotype" w:eastAsia="Times New Roman" w:hAnsi="Palatino Linotype" w:cs="Times New Roman"/>
          <w:i/>
          <w:sz w:val="24"/>
          <w:szCs w:val="24"/>
          <w:lang w:val="es-ES" w:eastAsia="es-ES"/>
        </w:rPr>
        <w:t xml:space="preserve">La información deberá ser entregada sin costo, cuando implique la entrega de no más de veinte hojas simples. Las unidades de transparencia podrán exceptuar el </w:t>
      </w:r>
      <w:r w:rsidRPr="006F67B0">
        <w:rPr>
          <w:rFonts w:ascii="Palatino Linotype" w:eastAsia="Times New Roman" w:hAnsi="Palatino Linotype" w:cs="Times New Roman"/>
          <w:i/>
          <w:sz w:val="24"/>
          <w:szCs w:val="24"/>
          <w:lang w:val="es-ES" w:eastAsia="es-ES"/>
        </w:rPr>
        <w:lastRenderedPageBreak/>
        <w:t>pago de reproducción y envío atendiendo a las circunstancias socioeconómicas del solicitante, en términos de los lineamientos que expida el Instituto.</w:t>
      </w:r>
    </w:p>
    <w:p w:rsidR="00AE62AE" w:rsidRPr="006F67B0" w:rsidRDefault="00AE62AE" w:rsidP="00AE62AE">
      <w:pPr>
        <w:spacing w:after="0" w:line="360" w:lineRule="auto"/>
        <w:jc w:val="both"/>
        <w:rPr>
          <w:rFonts w:ascii="Palatino Linotype" w:hAnsi="Palatino Linotype"/>
          <w:sz w:val="24"/>
          <w:szCs w:val="24"/>
        </w:rPr>
      </w:pPr>
    </w:p>
    <w:p w:rsidR="00AE62AE" w:rsidRPr="006F67B0" w:rsidRDefault="00AE62AE" w:rsidP="00AE62AE">
      <w:pPr>
        <w:spacing w:after="0" w:line="360" w:lineRule="auto"/>
        <w:jc w:val="both"/>
        <w:rPr>
          <w:rFonts w:ascii="Palatino Linotype" w:hAnsi="Palatino Linotype"/>
          <w:sz w:val="24"/>
          <w:szCs w:val="24"/>
        </w:rPr>
      </w:pPr>
      <w:r w:rsidRPr="006F67B0">
        <w:rPr>
          <w:rFonts w:ascii="Palatino Linotype" w:hAnsi="Palatino Linotype"/>
          <w:sz w:val="24"/>
          <w:szCs w:val="24"/>
        </w:rPr>
        <w:t xml:space="preserve">En ese orden de ideas al </w:t>
      </w:r>
      <w:r w:rsidR="00906B46">
        <w:rPr>
          <w:rFonts w:ascii="Palatino Linotype" w:hAnsi="Palatino Linotype"/>
          <w:sz w:val="24"/>
          <w:szCs w:val="24"/>
        </w:rPr>
        <w:t>acreditarse que la información no se encuentra digitalizada al no ser una obligación común</w:t>
      </w:r>
      <w:r w:rsidRPr="006F67B0">
        <w:rPr>
          <w:rFonts w:ascii="Palatino Linotype" w:hAnsi="Palatino Linotype"/>
          <w:sz w:val="24"/>
          <w:szCs w:val="24"/>
        </w:rPr>
        <w:t xml:space="preserve">, quien suscribe considera que la ponencia </w:t>
      </w:r>
      <w:proofErr w:type="spellStart"/>
      <w:r w:rsidRPr="006F67B0">
        <w:rPr>
          <w:rFonts w:ascii="Palatino Linotype" w:hAnsi="Palatino Linotype"/>
          <w:sz w:val="24"/>
          <w:szCs w:val="24"/>
        </w:rPr>
        <w:t>resolutora</w:t>
      </w:r>
      <w:proofErr w:type="spellEnd"/>
      <w:r w:rsidRPr="006F67B0">
        <w:rPr>
          <w:rFonts w:ascii="Palatino Linotype" w:hAnsi="Palatino Linotype"/>
          <w:sz w:val="24"/>
          <w:szCs w:val="24"/>
        </w:rPr>
        <w:t xml:space="preserve"> debió </w:t>
      </w:r>
      <w:r w:rsidR="00906B46">
        <w:rPr>
          <w:rFonts w:ascii="Palatino Linotype" w:hAnsi="Palatino Linotype"/>
          <w:sz w:val="24"/>
          <w:szCs w:val="24"/>
        </w:rPr>
        <w:t xml:space="preserve">sujetarse a lo establecido en la Ley de Transparencia y Acceso a la Información Pública del Estado de México y Municipios, es decir confirmar el pago respectivo por la digitalización de la información, a efecto de estar en posibilidades </w:t>
      </w:r>
      <w:r w:rsidRPr="006F67B0">
        <w:rPr>
          <w:rFonts w:ascii="Palatino Linotype" w:hAnsi="Palatino Linotype"/>
          <w:sz w:val="24"/>
          <w:szCs w:val="24"/>
        </w:rPr>
        <w:t>d</w:t>
      </w:r>
      <w:r w:rsidR="00906B46">
        <w:rPr>
          <w:rFonts w:ascii="Palatino Linotype" w:hAnsi="Palatino Linotype"/>
          <w:sz w:val="24"/>
          <w:szCs w:val="24"/>
        </w:rPr>
        <w:t>e entregar la información a la r</w:t>
      </w:r>
      <w:r w:rsidRPr="006F67B0">
        <w:rPr>
          <w:rFonts w:ascii="Palatino Linotype" w:hAnsi="Palatino Linotype"/>
          <w:sz w:val="24"/>
          <w:szCs w:val="24"/>
        </w:rPr>
        <w:t xml:space="preserve">ecurrente en la modalidad elegida, ordenando al </w:t>
      </w:r>
      <w:r w:rsidR="00906B46" w:rsidRPr="006F67B0">
        <w:rPr>
          <w:rFonts w:ascii="Palatino Linotype" w:hAnsi="Palatino Linotype"/>
          <w:sz w:val="24"/>
          <w:szCs w:val="24"/>
        </w:rPr>
        <w:t xml:space="preserve">sujeto obligado </w:t>
      </w:r>
      <w:r w:rsidRPr="006F67B0">
        <w:rPr>
          <w:rFonts w:ascii="Palatino Linotype" w:hAnsi="Palatino Linotype"/>
          <w:sz w:val="24"/>
          <w:szCs w:val="24"/>
        </w:rPr>
        <w:t>a entregar el procedimiento correspondiente.</w:t>
      </w:r>
    </w:p>
    <w:p w:rsidR="00AE62AE" w:rsidRPr="006F67B0" w:rsidRDefault="00AE62AE" w:rsidP="00AE62AE">
      <w:pPr>
        <w:spacing w:after="0" w:line="360" w:lineRule="auto"/>
        <w:jc w:val="center"/>
        <w:rPr>
          <w:rFonts w:ascii="Palatino Linotype" w:hAnsi="Palatino Linotype"/>
          <w:b/>
          <w:sz w:val="24"/>
          <w:szCs w:val="24"/>
        </w:rPr>
      </w:pPr>
    </w:p>
    <w:p w:rsidR="00AE62AE" w:rsidRDefault="00AE62AE" w:rsidP="00AE62AE">
      <w:pPr>
        <w:spacing w:after="0" w:line="360" w:lineRule="auto"/>
        <w:rPr>
          <w:rFonts w:ascii="Palatino Linotype" w:hAnsi="Palatino Linotype"/>
          <w:b/>
          <w:sz w:val="24"/>
          <w:szCs w:val="24"/>
        </w:rPr>
      </w:pPr>
    </w:p>
    <w:p w:rsidR="00AE62AE" w:rsidRPr="006F67B0" w:rsidRDefault="00AE62AE" w:rsidP="00AE62AE">
      <w:pPr>
        <w:spacing w:after="0" w:line="360" w:lineRule="auto"/>
        <w:rPr>
          <w:rFonts w:ascii="Palatino Linotype" w:hAnsi="Palatino Linotype"/>
          <w:b/>
          <w:sz w:val="24"/>
          <w:szCs w:val="24"/>
        </w:rPr>
      </w:pPr>
    </w:p>
    <w:p w:rsidR="00AE62AE" w:rsidRPr="006F67B0" w:rsidRDefault="00AE62AE" w:rsidP="00AE62AE">
      <w:pPr>
        <w:spacing w:after="0" w:line="240" w:lineRule="auto"/>
        <w:jc w:val="center"/>
        <w:rPr>
          <w:rFonts w:ascii="Palatino Linotype" w:hAnsi="Palatino Linotype"/>
          <w:b/>
          <w:sz w:val="24"/>
          <w:szCs w:val="24"/>
        </w:rPr>
      </w:pPr>
      <w:r w:rsidRPr="006F67B0">
        <w:rPr>
          <w:rFonts w:ascii="Palatino Linotype" w:hAnsi="Palatino Linotype"/>
          <w:b/>
          <w:sz w:val="24"/>
          <w:szCs w:val="24"/>
        </w:rPr>
        <w:t>Zulema Martínez Sánchez</w:t>
      </w:r>
    </w:p>
    <w:p w:rsidR="00F219F5" w:rsidRDefault="00AE62AE" w:rsidP="00F219F5">
      <w:pPr>
        <w:spacing w:after="0" w:line="240" w:lineRule="auto"/>
        <w:jc w:val="center"/>
        <w:rPr>
          <w:rFonts w:ascii="Palatino Linotype" w:hAnsi="Palatino Linotype"/>
          <w:b/>
          <w:sz w:val="24"/>
          <w:szCs w:val="24"/>
        </w:rPr>
      </w:pPr>
      <w:r w:rsidRPr="006F67B0">
        <w:rPr>
          <w:rFonts w:ascii="Palatino Linotype" w:hAnsi="Palatino Linotype"/>
          <w:b/>
          <w:sz w:val="24"/>
          <w:szCs w:val="24"/>
        </w:rPr>
        <w:t>Comisionada Presidenta</w:t>
      </w:r>
    </w:p>
    <w:p w:rsidR="00AE62AE" w:rsidRDefault="00F219F5" w:rsidP="00F219F5">
      <w:pPr>
        <w:spacing w:after="0" w:line="240" w:lineRule="auto"/>
        <w:jc w:val="center"/>
        <w:rPr>
          <w:rFonts w:ascii="Palatino Linotype" w:hAnsi="Palatino Linotype"/>
          <w:sz w:val="16"/>
          <w:szCs w:val="20"/>
        </w:rPr>
      </w:pPr>
      <w:r>
        <w:rPr>
          <w:rFonts w:ascii="Palatino Linotype" w:hAnsi="Palatino Linotype"/>
          <w:b/>
          <w:sz w:val="24"/>
          <w:szCs w:val="24"/>
        </w:rPr>
        <w:t>(Rúbrica)</w:t>
      </w:r>
    </w:p>
    <w:p w:rsidR="009C70E5" w:rsidRDefault="009C70E5" w:rsidP="00F219F5">
      <w:pPr>
        <w:spacing w:after="0" w:line="240" w:lineRule="auto"/>
        <w:jc w:val="both"/>
        <w:rPr>
          <w:rFonts w:ascii="Palatino Linotype" w:hAnsi="Palatino Linotype"/>
        </w:rPr>
      </w:pPr>
    </w:p>
    <w:p w:rsidR="00AE62AE" w:rsidRPr="00F914DA" w:rsidRDefault="00AE62AE" w:rsidP="00F219F5">
      <w:pPr>
        <w:spacing w:after="0" w:line="240" w:lineRule="auto"/>
        <w:jc w:val="both"/>
        <w:rPr>
          <w:rFonts w:ascii="Palatino Linotype" w:hAnsi="Palatino Linotype"/>
        </w:rPr>
      </w:pPr>
      <w:r w:rsidRPr="00F914DA">
        <w:rPr>
          <w:rFonts w:ascii="Palatino Linotype" w:hAnsi="Palatino Linotype"/>
        </w:rPr>
        <w:t>Esta hoja corresponde al recurso de revisión 0</w:t>
      </w:r>
      <w:r w:rsidR="00906B46">
        <w:rPr>
          <w:rFonts w:ascii="Palatino Linotype" w:hAnsi="Palatino Linotype"/>
        </w:rPr>
        <w:t>4639</w:t>
      </w:r>
      <w:r w:rsidRPr="00F914DA">
        <w:rPr>
          <w:rFonts w:ascii="Palatino Linotype" w:hAnsi="Palatino Linotype"/>
        </w:rPr>
        <w:t>/INFOEM/IP/RR/2018</w:t>
      </w:r>
      <w:r>
        <w:rPr>
          <w:rFonts w:ascii="Palatino Linotype" w:hAnsi="Palatino Linotype"/>
        </w:rPr>
        <w:t xml:space="preserve"> aprobado en fecha </w:t>
      </w:r>
      <w:r w:rsidR="00906B46">
        <w:rPr>
          <w:rFonts w:ascii="Palatino Linotype" w:hAnsi="Palatino Linotype"/>
        </w:rPr>
        <w:t>trece de febrero de dos mil diecinueve</w:t>
      </w:r>
      <w:r>
        <w:rPr>
          <w:rFonts w:ascii="Palatino Linotype" w:hAnsi="Palatino Linotype"/>
        </w:rPr>
        <w:t>.</w:t>
      </w:r>
    </w:p>
    <w:p w:rsidR="00AE62AE" w:rsidRPr="00815638" w:rsidRDefault="00AE62AE" w:rsidP="00F219F5">
      <w:pPr>
        <w:spacing w:after="0" w:line="240" w:lineRule="auto"/>
        <w:jc w:val="both"/>
      </w:pPr>
      <w:r w:rsidRPr="006F67B0">
        <w:rPr>
          <w:rFonts w:ascii="Palatino Linotype" w:hAnsi="Palatino Linotype"/>
          <w:sz w:val="20"/>
          <w:szCs w:val="20"/>
        </w:rPr>
        <w:t>OSAM/HAP</w:t>
      </w:r>
    </w:p>
    <w:p w:rsidR="004732DB" w:rsidRDefault="004732DB"/>
    <w:sectPr w:rsidR="004732DB" w:rsidSect="002E001E">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F9A" w:rsidRDefault="00242F9A" w:rsidP="00AE62AE">
      <w:pPr>
        <w:spacing w:after="0" w:line="240" w:lineRule="auto"/>
      </w:pPr>
      <w:r>
        <w:separator/>
      </w:r>
    </w:p>
  </w:endnote>
  <w:endnote w:type="continuationSeparator" w:id="0">
    <w:p w:rsidR="00242F9A" w:rsidRDefault="00242F9A" w:rsidP="00AE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1A472E"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CD4373">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CD4373">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p>
  <w:p w:rsidR="002E001E" w:rsidRDefault="00242F9A"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F9A" w:rsidRDefault="00242F9A" w:rsidP="00AE62AE">
      <w:pPr>
        <w:spacing w:after="0" w:line="240" w:lineRule="auto"/>
      </w:pPr>
      <w:r>
        <w:separator/>
      </w:r>
    </w:p>
  </w:footnote>
  <w:footnote w:type="continuationSeparator" w:id="0">
    <w:p w:rsidR="00242F9A" w:rsidRDefault="00242F9A" w:rsidP="00AE6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1A472E">
    <w:pPr>
      <w:pStyle w:val="Encabezado"/>
    </w:pPr>
    <w:r>
      <w:rPr>
        <w:noProof/>
        <w:lang w:val="es-MX" w:eastAsia="es-MX"/>
      </w:rPr>
      <mc:AlternateContent>
        <mc:Choice Requires="wps">
          <w:drawing>
            <wp:anchor distT="0" distB="0" distL="114300" distR="114300" simplePos="0" relativeHeight="251657728" behindDoc="1" locked="0" layoutInCell="0" allowOverlap="1" wp14:anchorId="2521ECCB" wp14:editId="2185F333">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1A472E"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21ECCB"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1A472E"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2ACFC1FF" wp14:editId="7F521EA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1A472E"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FC1FF"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1A472E"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242F9A"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1A472E">
      <w:rPr>
        <w:noProof/>
        <w:lang w:val="es-MX" w:eastAsia="es-MX"/>
      </w:rPr>
      <mc:AlternateContent>
        <mc:Choice Requires="wps">
          <w:drawing>
            <wp:anchor distT="0" distB="0" distL="114300" distR="114300" simplePos="0" relativeHeight="251658752" behindDoc="1" locked="0" layoutInCell="0" allowOverlap="1" wp14:anchorId="0C6E4C9A" wp14:editId="7E7D6D4F">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1A472E"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6E4C9A"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1A472E"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1A472E">
      <w:rPr>
        <w:noProof/>
        <w:lang w:val="es-MX" w:eastAsia="es-MX"/>
      </w:rPr>
      <w:drawing>
        <wp:anchor distT="0" distB="0" distL="114300" distR="114300" simplePos="0" relativeHeight="251656704" behindDoc="1" locked="0" layoutInCell="1" allowOverlap="1" wp14:anchorId="2CD766D6" wp14:editId="5E90F263">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E001E" w:rsidRDefault="00242F9A" w:rsidP="002E001E">
    <w:pPr>
      <w:pStyle w:val="Encabezado"/>
      <w:jc w:val="right"/>
      <w:rPr>
        <w:rFonts w:ascii="Arial" w:hAnsi="Arial" w:cs="Arial"/>
        <w:sz w:val="20"/>
        <w:szCs w:val="20"/>
      </w:rPr>
    </w:pPr>
  </w:p>
  <w:p w:rsidR="002E001E" w:rsidRDefault="00242F9A" w:rsidP="002E001E">
    <w:pPr>
      <w:pStyle w:val="Encabezado"/>
      <w:jc w:val="right"/>
      <w:rPr>
        <w:rFonts w:ascii="Arial" w:hAnsi="Arial" w:cs="Arial"/>
        <w:sz w:val="20"/>
        <w:szCs w:val="20"/>
      </w:rPr>
    </w:pPr>
  </w:p>
  <w:p w:rsidR="002E001E" w:rsidRDefault="001A472E" w:rsidP="002E001E">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2E001E" w:rsidRPr="00563D0F" w:rsidRDefault="001A472E"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AE62AE">
      <w:rPr>
        <w:rFonts w:ascii="Palatino Linotype" w:hAnsi="Palatino Linotype" w:cs="Arial"/>
        <w:b/>
        <w:sz w:val="20"/>
        <w:szCs w:val="20"/>
      </w:rPr>
      <w:t>4639</w:t>
    </w:r>
    <w:r w:rsidRPr="00897E24">
      <w:rPr>
        <w:rFonts w:ascii="Palatino Linotype" w:hAnsi="Palatino Linotype" w:cs="Arial"/>
        <w:b/>
        <w:sz w:val="20"/>
        <w:szCs w:val="20"/>
      </w:rPr>
      <w:t>/INFOEM/IP/RR/201</w:t>
    </w:r>
    <w:r>
      <w:rPr>
        <w:rFonts w:ascii="Palatino Linotype" w:hAnsi="Palatino Linotype" w:cs="Arial"/>
        <w:b/>
        <w:sz w:val="20"/>
        <w:szCs w:val="20"/>
      </w:rPr>
      <w:t>8</w:t>
    </w:r>
  </w:p>
  <w:p w:rsidR="002E001E" w:rsidRDefault="00242F9A" w:rsidP="002E001E">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AE"/>
    <w:rsid w:val="001A472E"/>
    <w:rsid w:val="00242F9A"/>
    <w:rsid w:val="003E1426"/>
    <w:rsid w:val="004732DB"/>
    <w:rsid w:val="00480067"/>
    <w:rsid w:val="004D131E"/>
    <w:rsid w:val="00906B46"/>
    <w:rsid w:val="009C70E5"/>
    <w:rsid w:val="00AE62AE"/>
    <w:rsid w:val="00CD4373"/>
    <w:rsid w:val="00F219F5"/>
    <w:rsid w:val="00FB6CB1"/>
    <w:rsid w:val="00FC4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6C4A776-FD55-472F-9F4A-0A6338F3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AE"/>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2A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62A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E62A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62AE"/>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E62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C70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5830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2019-02-18T20:05:00Z</cp:lastPrinted>
  <dcterms:created xsi:type="dcterms:W3CDTF">2019-03-22T19:16:00Z</dcterms:created>
  <dcterms:modified xsi:type="dcterms:W3CDTF">2019-05-02T19:26:00Z</dcterms:modified>
</cp:coreProperties>
</file>